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2BC" w:rsidRDefault="005840DD">
      <w:pPr>
        <w:shd w:val="clear" w:color="auto" w:fill="FFFFFF"/>
        <w:spacing w:line="600" w:lineRule="exact"/>
        <w:jc w:val="center"/>
        <w:outlineLvl w:val="1"/>
        <w:rPr>
          <w:rFonts w:eastAsia="方正小标宋_GBK"/>
          <w:b/>
          <w:spacing w:val="-8"/>
          <w:kern w:val="0"/>
          <w:sz w:val="44"/>
          <w:szCs w:val="44"/>
        </w:rPr>
      </w:pPr>
      <w:r>
        <w:rPr>
          <w:rFonts w:eastAsia="方正小标宋_GBK" w:hint="eastAsia"/>
          <w:b/>
          <w:spacing w:val="-8"/>
          <w:kern w:val="0"/>
          <w:sz w:val="44"/>
          <w:szCs w:val="44"/>
        </w:rPr>
        <w:t>2025</w:t>
      </w:r>
      <w:r>
        <w:rPr>
          <w:rFonts w:eastAsia="方正小标宋_GBK"/>
          <w:b/>
          <w:spacing w:val="-8"/>
          <w:kern w:val="0"/>
          <w:sz w:val="44"/>
          <w:szCs w:val="44"/>
        </w:rPr>
        <w:t>年</w:t>
      </w:r>
      <w:r w:rsidR="00537DBE">
        <w:rPr>
          <w:rFonts w:eastAsia="方正小标宋_GBK" w:hint="eastAsia"/>
          <w:b/>
          <w:spacing w:val="-8"/>
          <w:kern w:val="0"/>
          <w:sz w:val="44"/>
          <w:szCs w:val="44"/>
        </w:rPr>
        <w:t>秋</w:t>
      </w:r>
      <w:r>
        <w:rPr>
          <w:rFonts w:eastAsia="方正小标宋_GBK" w:hint="eastAsia"/>
          <w:b/>
          <w:spacing w:val="-8"/>
          <w:kern w:val="0"/>
          <w:sz w:val="44"/>
          <w:szCs w:val="44"/>
        </w:rPr>
        <w:t>期长江师范学院</w:t>
      </w:r>
    </w:p>
    <w:p w:rsidR="00E962BC" w:rsidRDefault="005840DD">
      <w:pPr>
        <w:shd w:val="clear" w:color="auto" w:fill="FFFFFF"/>
        <w:spacing w:line="600" w:lineRule="exact"/>
        <w:jc w:val="center"/>
        <w:outlineLvl w:val="1"/>
        <w:rPr>
          <w:rFonts w:eastAsia="方正小标宋_GBK"/>
          <w:b/>
          <w:spacing w:val="-8"/>
          <w:kern w:val="0"/>
          <w:sz w:val="44"/>
          <w:szCs w:val="44"/>
        </w:rPr>
      </w:pPr>
      <w:r>
        <w:rPr>
          <w:rFonts w:eastAsia="方正小标宋_GBK" w:hint="eastAsia"/>
          <w:b/>
          <w:spacing w:val="-8"/>
          <w:kern w:val="0"/>
          <w:sz w:val="44"/>
          <w:szCs w:val="44"/>
        </w:rPr>
        <w:t>财富管理</w:t>
      </w:r>
      <w:r>
        <w:rPr>
          <w:rFonts w:eastAsia="方正小标宋_GBK"/>
          <w:b/>
          <w:spacing w:val="-8"/>
          <w:kern w:val="0"/>
          <w:sz w:val="44"/>
          <w:szCs w:val="44"/>
        </w:rPr>
        <w:t>微专业</w:t>
      </w:r>
    </w:p>
    <w:p w:rsidR="00E962BC" w:rsidRDefault="005840DD">
      <w:pPr>
        <w:shd w:val="clear" w:color="auto" w:fill="FFFFFF"/>
        <w:spacing w:line="600" w:lineRule="exact"/>
        <w:jc w:val="center"/>
        <w:outlineLvl w:val="1"/>
        <w:rPr>
          <w:rFonts w:eastAsia="方正小标宋_GBK"/>
          <w:b/>
          <w:spacing w:val="-8"/>
          <w:kern w:val="0"/>
          <w:sz w:val="44"/>
          <w:szCs w:val="44"/>
        </w:rPr>
      </w:pPr>
      <w:r>
        <w:rPr>
          <w:rFonts w:eastAsia="方正小标宋_GBK"/>
          <w:b/>
          <w:spacing w:val="-8"/>
          <w:kern w:val="0"/>
          <w:sz w:val="44"/>
          <w:szCs w:val="44"/>
        </w:rPr>
        <w:t>招生简章</w:t>
      </w:r>
    </w:p>
    <w:p w:rsidR="00E962BC" w:rsidRDefault="00E962BC">
      <w:pPr>
        <w:snapToGrid w:val="0"/>
        <w:spacing w:line="560" w:lineRule="exact"/>
        <w:rPr>
          <w:rFonts w:eastAsia="方正黑体_GBK"/>
          <w:sz w:val="32"/>
          <w:szCs w:val="32"/>
        </w:rPr>
      </w:pP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一、</w:t>
      </w:r>
      <w:r>
        <w:rPr>
          <w:rFonts w:eastAsia="方正黑体_GBK"/>
          <w:sz w:val="32"/>
          <w:szCs w:val="32"/>
        </w:rPr>
        <w:t>前言</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伴随着经济的发展，个人财富的迅速膨胀，面对股市、债市等金融市场的剧烈波动，家庭和个人对于纳税筹划、财富传承、投资及避险产品和方案等财富管理需求激增。</w:t>
      </w:r>
      <w:r>
        <w:rPr>
          <w:rFonts w:eastAsia="方正仿宋_GBK" w:hint="eastAsia"/>
          <w:sz w:val="32"/>
          <w:szCs w:val="32"/>
        </w:rPr>
        <w:t>2022</w:t>
      </w:r>
      <w:r>
        <w:rPr>
          <w:rFonts w:eastAsia="方正仿宋_GBK" w:hint="eastAsia"/>
          <w:sz w:val="32"/>
          <w:szCs w:val="32"/>
        </w:rPr>
        <w:t>年我国财富管理市场规模达到</w:t>
      </w:r>
      <w:r>
        <w:rPr>
          <w:rFonts w:eastAsia="方正仿宋_GBK" w:hint="eastAsia"/>
          <w:sz w:val="32"/>
          <w:szCs w:val="32"/>
        </w:rPr>
        <w:t>118.49</w:t>
      </w:r>
      <w:r>
        <w:rPr>
          <w:rFonts w:eastAsia="方正仿宋_GBK" w:hint="eastAsia"/>
          <w:sz w:val="32"/>
          <w:szCs w:val="32"/>
        </w:rPr>
        <w:t>万亿元，同比增长</w:t>
      </w:r>
      <w:r>
        <w:rPr>
          <w:rFonts w:eastAsia="方正仿宋_GBK" w:hint="eastAsia"/>
          <w:sz w:val="32"/>
          <w:szCs w:val="32"/>
        </w:rPr>
        <w:t>8.7%</w:t>
      </w:r>
      <w:r>
        <w:rPr>
          <w:rFonts w:eastAsia="方正仿宋_GBK" w:hint="eastAsia"/>
          <w:sz w:val="32"/>
          <w:szCs w:val="32"/>
        </w:rPr>
        <w:t>。</w:t>
      </w:r>
      <w:r>
        <w:rPr>
          <w:rFonts w:eastAsia="方正仿宋_GBK" w:hint="eastAsia"/>
          <w:sz w:val="32"/>
          <w:szCs w:val="32"/>
        </w:rPr>
        <w:t>2023</w:t>
      </w:r>
      <w:r>
        <w:rPr>
          <w:rFonts w:eastAsia="方正仿宋_GBK" w:hint="eastAsia"/>
          <w:sz w:val="32"/>
          <w:szCs w:val="32"/>
        </w:rPr>
        <w:t>年，随着宏观经济的复苏和资本市场的回暖，居民收入预期和风险偏好有望稳步回升，财富管理市场规模进一步扩大。相关调研显示，财富管理已经成为各类金融机构发展的核心业务及竞争的焦点领域，专业人才缺口巨大。财富管理人才需求单位主要有商业银行、财富管理公司、证券公司、期货公司、基金公司等，主要涉及岗位包括产品开发经理、理财专员、财务规划顾问、私人银行财富顾问等。</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二、</w:t>
      </w:r>
      <w:r>
        <w:rPr>
          <w:rFonts w:eastAsia="方正黑体_GBK"/>
          <w:sz w:val="32"/>
          <w:szCs w:val="32"/>
        </w:rPr>
        <w:t>专业简介</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财富管理微专业以重庆市一流专业（金融工程、财务管理）、重庆市特色专业（财务管理）为依托，秉持成果导向理念，坚持实用原则，精选</w:t>
      </w:r>
      <w:r>
        <w:rPr>
          <w:rFonts w:eastAsia="方正仿宋_GBK" w:hint="eastAsia"/>
          <w:sz w:val="32"/>
          <w:szCs w:val="32"/>
        </w:rPr>
        <w:t>6</w:t>
      </w:r>
      <w:r>
        <w:rPr>
          <w:rFonts w:eastAsia="方正仿宋_GBK" w:hint="eastAsia"/>
          <w:sz w:val="32"/>
          <w:szCs w:val="32"/>
        </w:rPr>
        <w:t>门课程，内容涵盖家庭个人全生命周期现金流管理、投资管理、风险管理、养老规划、税收筹划，培养能为家庭个人各阶段多样化目标进行财富管理规划的系统能力，以及能</w:t>
      </w:r>
      <w:r>
        <w:rPr>
          <w:rFonts w:eastAsia="方正仿宋_GBK" w:hint="eastAsia"/>
          <w:sz w:val="32"/>
          <w:szCs w:val="32"/>
        </w:rPr>
        <w:lastRenderedPageBreak/>
        <w:t>胜任在商业银行、保险公司、证券公司等企业财富管理相关岗位进行咨询、规划、营销和服务的能力。在微专业课程学习基础上，通过进一步学习可考取理财规划师、税务师、风险管理师等职业资格证书。</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三、</w:t>
      </w:r>
      <w:r>
        <w:rPr>
          <w:rFonts w:eastAsia="方正黑体_GBK"/>
          <w:sz w:val="32"/>
          <w:szCs w:val="32"/>
        </w:rPr>
        <w:t>培养目标</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财富管理微专业通过系统设置课程体系，优选课程内容，秉持产出导向理念和实用原则，重点以项目式教学法、案例教学法等方法开展教学活动，旨在培养洞悉中国经济规律、具有宽广视野、掌握财富管理基本理论、具有为家庭个人各阶段多样化目标进行财富管理规划系统能力的应用型人才。</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四、</w:t>
      </w:r>
      <w:r>
        <w:rPr>
          <w:rFonts w:eastAsia="方正黑体_GBK"/>
          <w:sz w:val="32"/>
          <w:szCs w:val="32"/>
        </w:rPr>
        <w:t>课程设置</w:t>
      </w:r>
    </w:p>
    <w:p w:rsidR="00E962BC" w:rsidRDefault="005840DD">
      <w:pPr>
        <w:snapToGrid w:val="0"/>
        <w:spacing w:line="560" w:lineRule="exact"/>
        <w:ind w:firstLineChars="200" w:firstLine="640"/>
        <w:rPr>
          <w:rStyle w:val="NormalCharacter"/>
          <w:rFonts w:eastAsia="方正楷体_GBK"/>
          <w:b/>
          <w:bCs/>
          <w:sz w:val="32"/>
          <w:szCs w:val="32"/>
        </w:rPr>
      </w:pPr>
      <w:r>
        <w:rPr>
          <w:rStyle w:val="NormalCharacter"/>
          <w:rFonts w:eastAsia="方正楷体_GBK" w:hint="eastAsia"/>
          <w:b/>
          <w:bCs/>
          <w:sz w:val="32"/>
          <w:szCs w:val="32"/>
        </w:rPr>
        <w:t>第</w:t>
      </w:r>
      <w:r>
        <w:rPr>
          <w:rStyle w:val="NormalCharacter"/>
          <w:rFonts w:eastAsia="方正楷体_GBK" w:hint="eastAsia"/>
          <w:b/>
          <w:bCs/>
          <w:sz w:val="32"/>
          <w:szCs w:val="32"/>
        </w:rPr>
        <w:t>1</w:t>
      </w:r>
      <w:r>
        <w:rPr>
          <w:rStyle w:val="NormalCharacter"/>
          <w:rFonts w:eastAsia="方正楷体_GBK" w:hint="eastAsia"/>
          <w:b/>
          <w:bCs/>
          <w:sz w:val="32"/>
          <w:szCs w:val="32"/>
        </w:rPr>
        <w:t>学期</w:t>
      </w:r>
      <w:r>
        <w:rPr>
          <w:rStyle w:val="NormalCharacter"/>
          <w:rFonts w:eastAsia="方正楷体_GBK" w:hint="eastAsia"/>
          <w:b/>
          <w:bCs/>
          <w:sz w:val="32"/>
          <w:szCs w:val="32"/>
        </w:rPr>
        <w:t xml:space="preserve"> </w:t>
      </w:r>
      <w:r w:rsidR="00537DBE">
        <w:rPr>
          <w:rStyle w:val="NormalCharacter"/>
          <w:rFonts w:eastAsia="方正楷体_GBK" w:hint="eastAsia"/>
          <w:b/>
          <w:bCs/>
          <w:sz w:val="32"/>
          <w:szCs w:val="32"/>
        </w:rPr>
        <w:t>秋季</w:t>
      </w:r>
      <w:r>
        <w:rPr>
          <w:rStyle w:val="NormalCharacter"/>
          <w:rFonts w:eastAsia="方正楷体_GBK" w:hint="eastAsia"/>
          <w:b/>
          <w:bCs/>
          <w:sz w:val="32"/>
          <w:szCs w:val="32"/>
        </w:rPr>
        <w:t>学期</w:t>
      </w:r>
      <w:r>
        <w:rPr>
          <w:rStyle w:val="NormalCharacter"/>
          <w:rFonts w:eastAsia="方正楷体_GBK" w:hint="eastAsia"/>
          <w:b/>
          <w:bCs/>
          <w:sz w:val="32"/>
          <w:szCs w:val="32"/>
        </w:rPr>
        <w:t xml:space="preserve"> 3</w:t>
      </w:r>
      <w:r>
        <w:rPr>
          <w:rStyle w:val="NormalCharacter"/>
          <w:rFonts w:eastAsia="方正楷体_GBK" w:hint="eastAsia"/>
          <w:b/>
          <w:bCs/>
          <w:sz w:val="32"/>
          <w:szCs w:val="32"/>
        </w:rPr>
        <w:t>门课</w:t>
      </w:r>
      <w:r w:rsidR="009E0BC8">
        <w:rPr>
          <w:rStyle w:val="NormalCharacter"/>
          <w:rFonts w:eastAsia="方正楷体_GBK" w:hint="eastAsia"/>
          <w:b/>
          <w:bCs/>
          <w:sz w:val="32"/>
          <w:szCs w:val="32"/>
        </w:rPr>
        <w:t>程</w:t>
      </w:r>
      <w:r>
        <w:rPr>
          <w:rStyle w:val="NormalCharacter"/>
          <w:rFonts w:eastAsia="方正楷体_GBK" w:hint="eastAsia"/>
          <w:b/>
          <w:bCs/>
          <w:sz w:val="32"/>
          <w:szCs w:val="32"/>
        </w:rPr>
        <w:t xml:space="preserve"> 7</w:t>
      </w:r>
      <w:r>
        <w:rPr>
          <w:rStyle w:val="NormalCharacter"/>
          <w:rFonts w:eastAsia="方正楷体_GBK" w:hint="eastAsia"/>
          <w:b/>
          <w:bCs/>
          <w:sz w:val="32"/>
          <w:szCs w:val="32"/>
        </w:rPr>
        <w:t>学分</w:t>
      </w:r>
    </w:p>
    <w:p w:rsidR="00E962BC" w:rsidRDefault="005840DD">
      <w:pPr>
        <w:snapToGrid w:val="0"/>
        <w:spacing w:line="560" w:lineRule="exact"/>
        <w:ind w:firstLineChars="200" w:firstLine="640"/>
        <w:rPr>
          <w:rFonts w:eastAsia="方正仿宋_GBK"/>
          <w:b/>
          <w:bCs/>
          <w:sz w:val="32"/>
          <w:szCs w:val="32"/>
        </w:rPr>
      </w:pPr>
      <w:r>
        <w:rPr>
          <w:rFonts w:eastAsia="方正仿宋_GBK" w:hint="eastAsia"/>
          <w:b/>
          <w:bCs/>
          <w:sz w:val="32"/>
          <w:szCs w:val="32"/>
        </w:rPr>
        <w:t>《财富管理概论</w:t>
      </w:r>
      <w:r>
        <w:rPr>
          <w:rFonts w:eastAsia="方正仿宋_GBK" w:hint="eastAsia"/>
          <w:b/>
          <w:bCs/>
          <w:sz w:val="32"/>
          <w:szCs w:val="32"/>
        </w:rPr>
        <w:t xml:space="preserve"> </w:t>
      </w:r>
      <w:r>
        <w:rPr>
          <w:rFonts w:eastAsia="方正仿宋_GBK" w:hint="eastAsia"/>
          <w:b/>
          <w:bCs/>
          <w:sz w:val="32"/>
          <w:szCs w:val="32"/>
        </w:rPr>
        <w:t>》</w:t>
      </w:r>
      <w:r>
        <w:rPr>
          <w:rFonts w:eastAsia="方正仿宋_GBK" w:hint="eastAsia"/>
          <w:b/>
          <w:bCs/>
          <w:sz w:val="32"/>
          <w:szCs w:val="32"/>
        </w:rPr>
        <w:t>2</w:t>
      </w:r>
      <w:r>
        <w:rPr>
          <w:rFonts w:eastAsia="方正仿宋_GBK" w:hint="eastAsia"/>
          <w:b/>
          <w:bCs/>
          <w:sz w:val="32"/>
          <w:szCs w:val="32"/>
        </w:rPr>
        <w:t>学分</w:t>
      </w:r>
      <w:r>
        <w:rPr>
          <w:rFonts w:eastAsia="方正仿宋_GBK" w:hint="eastAsia"/>
          <w:b/>
          <w:bCs/>
          <w:sz w:val="32"/>
          <w:szCs w:val="32"/>
        </w:rPr>
        <w:t xml:space="preserve"> </w:t>
      </w:r>
      <w:r>
        <w:rPr>
          <w:rFonts w:eastAsia="方正仿宋_GBK" w:hint="eastAsia"/>
          <w:b/>
          <w:bCs/>
          <w:sz w:val="32"/>
          <w:szCs w:val="32"/>
        </w:rPr>
        <w:t>线下课程，</w:t>
      </w:r>
      <w:r>
        <w:rPr>
          <w:rFonts w:eastAsia="方正仿宋_GBK" w:hint="eastAsia"/>
          <w:b/>
          <w:bCs/>
          <w:sz w:val="32"/>
          <w:szCs w:val="32"/>
        </w:rPr>
        <w:t>32</w:t>
      </w:r>
      <w:r>
        <w:rPr>
          <w:rFonts w:eastAsia="方正仿宋_GBK" w:hint="eastAsia"/>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是财富管理微专业的基础课程。课程内容分为财富管理的基本内涵、投资规划概述、财务报表分析技术与工具、风险管理与保险规划、税务与税务筹划、家庭财富管理、机构财富管理七个模块，旨在让学生了解财富管理全貌并获取分析技能。</w:t>
      </w:r>
    </w:p>
    <w:p w:rsidR="00E962BC" w:rsidRDefault="005840DD">
      <w:pPr>
        <w:snapToGrid w:val="0"/>
        <w:spacing w:line="560" w:lineRule="exact"/>
        <w:ind w:firstLineChars="200" w:firstLine="640"/>
        <w:rPr>
          <w:rFonts w:eastAsia="方正仿宋_GBK"/>
          <w:b/>
          <w:bCs/>
          <w:sz w:val="32"/>
          <w:szCs w:val="32"/>
        </w:rPr>
      </w:pPr>
      <w:r>
        <w:rPr>
          <w:rFonts w:eastAsia="方正仿宋_GBK"/>
          <w:b/>
          <w:bCs/>
          <w:sz w:val="32"/>
          <w:szCs w:val="32"/>
        </w:rPr>
        <w:t>《</w:t>
      </w:r>
      <w:r>
        <w:rPr>
          <w:rFonts w:eastAsia="方正仿宋_GBK" w:hint="eastAsia"/>
          <w:b/>
          <w:bCs/>
          <w:sz w:val="32"/>
          <w:szCs w:val="32"/>
        </w:rPr>
        <w:t>证券投资与大类资产配置</w:t>
      </w:r>
      <w:r>
        <w:rPr>
          <w:rFonts w:eastAsia="方正仿宋_GBK"/>
          <w:b/>
          <w:bCs/>
          <w:sz w:val="32"/>
          <w:szCs w:val="32"/>
        </w:rPr>
        <w:t>》</w:t>
      </w:r>
      <w:r>
        <w:rPr>
          <w:rFonts w:eastAsia="方正仿宋_GBK"/>
          <w:b/>
          <w:bCs/>
          <w:sz w:val="32"/>
          <w:szCs w:val="32"/>
        </w:rPr>
        <w:t>3</w:t>
      </w:r>
      <w:r>
        <w:rPr>
          <w:rFonts w:eastAsia="方正仿宋_GBK"/>
          <w:b/>
          <w:bCs/>
          <w:sz w:val="32"/>
          <w:szCs w:val="32"/>
        </w:rPr>
        <w:t>学分</w:t>
      </w:r>
      <w:r>
        <w:rPr>
          <w:rFonts w:eastAsia="方正仿宋_GBK" w:hint="eastAsia"/>
          <w:b/>
          <w:bCs/>
          <w:sz w:val="32"/>
          <w:szCs w:val="32"/>
        </w:rPr>
        <w:t xml:space="preserve"> </w:t>
      </w:r>
      <w:r>
        <w:rPr>
          <w:rFonts w:eastAsia="方正仿宋_GBK" w:hint="eastAsia"/>
          <w:b/>
          <w:bCs/>
          <w:sz w:val="32"/>
          <w:szCs w:val="32"/>
        </w:rPr>
        <w:t>线下</w:t>
      </w:r>
      <w:r>
        <w:rPr>
          <w:rFonts w:eastAsia="方正仿宋_GBK"/>
          <w:b/>
          <w:bCs/>
          <w:sz w:val="32"/>
          <w:szCs w:val="32"/>
        </w:rPr>
        <w:t>课程</w:t>
      </w:r>
      <w:r>
        <w:rPr>
          <w:rFonts w:eastAsia="方正仿宋_GBK" w:hint="eastAsia"/>
          <w:b/>
          <w:bCs/>
          <w:sz w:val="32"/>
          <w:szCs w:val="32"/>
        </w:rPr>
        <w:t>，</w:t>
      </w:r>
      <w:r>
        <w:rPr>
          <w:rFonts w:eastAsia="方正仿宋_GBK"/>
          <w:b/>
          <w:bCs/>
          <w:sz w:val="32"/>
          <w:szCs w:val="32"/>
        </w:rPr>
        <w:t>48</w:t>
      </w:r>
      <w:r>
        <w:rPr>
          <w:rFonts w:eastAsia="方正仿宋_GBK"/>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教学内容分为证券投资概述、证券市场与证券价格、证券投资分析方法、资产配置概述和大类资产配置实务五个模块，主要通过案例教学法和模拟演练法开展相关内容教学，旨在让学生掌握证券市场的基础知识和基本理论，熟悉证券市场的架</w:t>
      </w:r>
      <w:r>
        <w:rPr>
          <w:rFonts w:eastAsia="方正仿宋_GBK" w:hint="eastAsia"/>
          <w:sz w:val="32"/>
          <w:szCs w:val="32"/>
        </w:rPr>
        <w:lastRenderedPageBreak/>
        <w:t>构、交易工具、运作机制和运行规律，掌握证券投资的收益、风险之间的关系和有价证券的定价原理，熟悉证券投资的分析方法和管理方法，了解资产配置的基本思路，熟悉各类资产在资产配置中的运用方法和特点，具备一定的证券投资和大类资产配置能力。</w:t>
      </w:r>
    </w:p>
    <w:p w:rsidR="00E962BC" w:rsidRDefault="005840DD">
      <w:pPr>
        <w:snapToGrid w:val="0"/>
        <w:spacing w:line="560" w:lineRule="exact"/>
        <w:ind w:firstLineChars="200" w:firstLine="640"/>
        <w:rPr>
          <w:rFonts w:eastAsia="方正仿宋_GBK"/>
          <w:b/>
          <w:bCs/>
          <w:sz w:val="32"/>
          <w:szCs w:val="32"/>
        </w:rPr>
      </w:pPr>
      <w:r>
        <w:rPr>
          <w:rFonts w:eastAsia="方正仿宋_GBK" w:hint="eastAsia"/>
          <w:b/>
          <w:bCs/>
          <w:sz w:val="32"/>
          <w:szCs w:val="32"/>
        </w:rPr>
        <w:t>《家庭财富管理》</w:t>
      </w:r>
      <w:r>
        <w:rPr>
          <w:rFonts w:eastAsia="方正仿宋_GBK"/>
          <w:b/>
          <w:bCs/>
          <w:sz w:val="32"/>
          <w:szCs w:val="32"/>
        </w:rPr>
        <w:t>2</w:t>
      </w:r>
      <w:r>
        <w:rPr>
          <w:rFonts w:eastAsia="方正仿宋_GBK"/>
          <w:b/>
          <w:bCs/>
          <w:sz w:val="32"/>
          <w:szCs w:val="32"/>
        </w:rPr>
        <w:t>学分</w:t>
      </w:r>
      <w:r>
        <w:rPr>
          <w:rFonts w:eastAsia="方正仿宋_GBK" w:hint="eastAsia"/>
          <w:b/>
          <w:bCs/>
          <w:sz w:val="32"/>
          <w:szCs w:val="32"/>
        </w:rPr>
        <w:t xml:space="preserve"> </w:t>
      </w:r>
      <w:r>
        <w:rPr>
          <w:rFonts w:eastAsia="方正仿宋_GBK" w:hint="eastAsia"/>
          <w:b/>
          <w:bCs/>
          <w:sz w:val="32"/>
          <w:szCs w:val="32"/>
        </w:rPr>
        <w:t>线下</w:t>
      </w:r>
      <w:r>
        <w:rPr>
          <w:rFonts w:eastAsia="方正仿宋_GBK"/>
          <w:b/>
          <w:bCs/>
          <w:sz w:val="32"/>
          <w:szCs w:val="32"/>
        </w:rPr>
        <w:t>课程</w:t>
      </w:r>
      <w:r>
        <w:rPr>
          <w:rFonts w:eastAsia="方正仿宋_GBK" w:hint="eastAsia"/>
          <w:b/>
          <w:bCs/>
          <w:sz w:val="32"/>
          <w:szCs w:val="32"/>
        </w:rPr>
        <w:t>，</w:t>
      </w:r>
      <w:r>
        <w:rPr>
          <w:rFonts w:eastAsia="方正仿宋_GBK"/>
          <w:b/>
          <w:bCs/>
          <w:sz w:val="32"/>
          <w:szCs w:val="32"/>
        </w:rPr>
        <w:t>线下</w:t>
      </w:r>
      <w:r>
        <w:rPr>
          <w:rFonts w:eastAsia="方正仿宋_GBK"/>
          <w:b/>
          <w:bCs/>
          <w:sz w:val="32"/>
          <w:szCs w:val="32"/>
        </w:rPr>
        <w:t>32</w:t>
      </w:r>
      <w:r>
        <w:rPr>
          <w:rFonts w:eastAsia="方正仿宋_GBK"/>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的主要内容分为家庭财富管理概论、家庭住房规划方法、现金规划与子女教育规划、退休养老规划、家庭保险规划、家庭投资规划方法、家庭税收规划方法、家庭综合理财规划方法八个模块。通过本课程学习，学生能够掌握家庭财富创造和传承所必须遵循的法律法规，掌握个人和家庭现金规划、日常消费规划、住房规划、教育规划、退休和养老规划、税收规划及综合理财规划的基本理论和方法，具备一定的家庭财富管理和规划能力。</w:t>
      </w:r>
    </w:p>
    <w:p w:rsidR="00E962BC" w:rsidRDefault="005840DD">
      <w:pPr>
        <w:snapToGrid w:val="0"/>
        <w:spacing w:line="560" w:lineRule="exact"/>
        <w:ind w:firstLineChars="200" w:firstLine="640"/>
        <w:rPr>
          <w:rStyle w:val="NormalCharacter"/>
          <w:rFonts w:eastAsia="方正楷体_GBK"/>
          <w:b/>
          <w:bCs/>
          <w:sz w:val="32"/>
          <w:szCs w:val="32"/>
        </w:rPr>
      </w:pPr>
      <w:r>
        <w:rPr>
          <w:rStyle w:val="NormalCharacter"/>
          <w:rFonts w:eastAsia="方正楷体_GBK"/>
          <w:b/>
          <w:bCs/>
          <w:sz w:val="32"/>
          <w:szCs w:val="32"/>
        </w:rPr>
        <w:t>第</w:t>
      </w:r>
      <w:r>
        <w:rPr>
          <w:rStyle w:val="NormalCharacter"/>
          <w:rFonts w:eastAsia="方正楷体_GBK"/>
          <w:b/>
          <w:bCs/>
          <w:sz w:val="32"/>
          <w:szCs w:val="32"/>
        </w:rPr>
        <w:t>2</w:t>
      </w:r>
      <w:r>
        <w:rPr>
          <w:rStyle w:val="NormalCharacter"/>
          <w:rFonts w:eastAsia="方正楷体_GBK"/>
          <w:b/>
          <w:bCs/>
          <w:sz w:val="32"/>
          <w:szCs w:val="32"/>
        </w:rPr>
        <w:t>学期</w:t>
      </w:r>
      <w:r>
        <w:rPr>
          <w:rStyle w:val="NormalCharacter"/>
          <w:rFonts w:eastAsia="方正楷体_GBK" w:hint="eastAsia"/>
          <w:b/>
          <w:bCs/>
          <w:sz w:val="32"/>
          <w:szCs w:val="32"/>
        </w:rPr>
        <w:t xml:space="preserve"> </w:t>
      </w:r>
      <w:r w:rsidR="00537DBE">
        <w:rPr>
          <w:rStyle w:val="NormalCharacter"/>
          <w:rFonts w:eastAsia="方正楷体_GBK" w:hint="eastAsia"/>
          <w:b/>
          <w:bCs/>
          <w:sz w:val="32"/>
          <w:szCs w:val="32"/>
        </w:rPr>
        <w:t>春</w:t>
      </w:r>
      <w:r>
        <w:rPr>
          <w:rStyle w:val="NormalCharacter"/>
          <w:rFonts w:eastAsia="方正楷体_GBK"/>
          <w:b/>
          <w:bCs/>
          <w:sz w:val="32"/>
          <w:szCs w:val="32"/>
        </w:rPr>
        <w:t>季学期</w:t>
      </w:r>
      <w:r>
        <w:rPr>
          <w:rStyle w:val="NormalCharacter"/>
          <w:rFonts w:eastAsia="方正楷体_GBK" w:hint="eastAsia"/>
          <w:b/>
          <w:bCs/>
          <w:sz w:val="32"/>
          <w:szCs w:val="32"/>
        </w:rPr>
        <w:t xml:space="preserve"> </w:t>
      </w:r>
      <w:r>
        <w:rPr>
          <w:rStyle w:val="NormalCharacter"/>
          <w:rFonts w:eastAsia="方正楷体_GBK"/>
          <w:b/>
          <w:bCs/>
          <w:sz w:val="32"/>
          <w:szCs w:val="32"/>
        </w:rPr>
        <w:t>2</w:t>
      </w:r>
      <w:r>
        <w:rPr>
          <w:rStyle w:val="NormalCharacter"/>
          <w:rFonts w:eastAsia="方正楷体_GBK"/>
          <w:b/>
          <w:bCs/>
          <w:sz w:val="32"/>
          <w:szCs w:val="32"/>
        </w:rPr>
        <w:t>门课</w:t>
      </w:r>
      <w:r w:rsidR="009E0BC8">
        <w:rPr>
          <w:rStyle w:val="NormalCharacter"/>
          <w:rFonts w:eastAsia="方正楷体_GBK" w:hint="eastAsia"/>
          <w:b/>
          <w:bCs/>
          <w:sz w:val="32"/>
          <w:szCs w:val="32"/>
        </w:rPr>
        <w:t>程</w:t>
      </w:r>
      <w:r>
        <w:rPr>
          <w:rStyle w:val="NormalCharacter"/>
          <w:rFonts w:eastAsia="方正楷体_GBK" w:hint="eastAsia"/>
          <w:b/>
          <w:bCs/>
          <w:sz w:val="32"/>
          <w:szCs w:val="32"/>
        </w:rPr>
        <w:t xml:space="preserve"> </w:t>
      </w:r>
      <w:r>
        <w:rPr>
          <w:rStyle w:val="NormalCharacter"/>
          <w:rFonts w:eastAsia="方正楷体_GBK"/>
          <w:b/>
          <w:bCs/>
          <w:sz w:val="32"/>
          <w:szCs w:val="32"/>
        </w:rPr>
        <w:t>7</w:t>
      </w:r>
      <w:r>
        <w:rPr>
          <w:rStyle w:val="NormalCharacter"/>
          <w:rFonts w:eastAsia="方正楷体_GBK"/>
          <w:b/>
          <w:bCs/>
          <w:sz w:val="32"/>
          <w:szCs w:val="32"/>
        </w:rPr>
        <w:t>学分</w:t>
      </w:r>
    </w:p>
    <w:p w:rsidR="00E962BC" w:rsidRDefault="005840DD">
      <w:pPr>
        <w:snapToGrid w:val="0"/>
        <w:spacing w:line="560" w:lineRule="exact"/>
        <w:ind w:firstLineChars="200" w:firstLine="640"/>
        <w:rPr>
          <w:rFonts w:eastAsia="方正仿宋_GBK"/>
          <w:b/>
          <w:bCs/>
          <w:sz w:val="32"/>
          <w:szCs w:val="32"/>
        </w:rPr>
      </w:pPr>
      <w:r>
        <w:rPr>
          <w:rFonts w:eastAsia="方正仿宋_GBK" w:hint="eastAsia"/>
          <w:b/>
          <w:bCs/>
          <w:sz w:val="32"/>
          <w:szCs w:val="32"/>
        </w:rPr>
        <w:t>《税法》</w:t>
      </w:r>
      <w:r>
        <w:rPr>
          <w:rFonts w:eastAsia="方正仿宋_GBK" w:hint="eastAsia"/>
          <w:b/>
          <w:bCs/>
          <w:sz w:val="32"/>
          <w:szCs w:val="32"/>
        </w:rPr>
        <w:t>3</w:t>
      </w:r>
      <w:r>
        <w:rPr>
          <w:rFonts w:eastAsia="方正仿宋_GBK" w:hint="eastAsia"/>
          <w:b/>
          <w:bCs/>
          <w:sz w:val="32"/>
          <w:szCs w:val="32"/>
        </w:rPr>
        <w:t>学分</w:t>
      </w:r>
      <w:r>
        <w:rPr>
          <w:rFonts w:eastAsia="方正仿宋_GBK" w:hint="eastAsia"/>
          <w:b/>
          <w:bCs/>
          <w:sz w:val="32"/>
          <w:szCs w:val="32"/>
        </w:rPr>
        <w:t xml:space="preserve"> </w:t>
      </w:r>
      <w:r>
        <w:rPr>
          <w:rFonts w:eastAsia="方正仿宋_GBK" w:hint="eastAsia"/>
          <w:b/>
          <w:bCs/>
          <w:sz w:val="32"/>
          <w:szCs w:val="32"/>
        </w:rPr>
        <w:t>线下课程，</w:t>
      </w:r>
      <w:r>
        <w:rPr>
          <w:rFonts w:eastAsia="方正仿宋_GBK" w:hint="eastAsia"/>
          <w:b/>
          <w:bCs/>
          <w:sz w:val="32"/>
          <w:szCs w:val="32"/>
        </w:rPr>
        <w:t>4</w:t>
      </w:r>
      <w:r>
        <w:rPr>
          <w:rFonts w:eastAsia="方正仿宋_GBK"/>
          <w:b/>
          <w:bCs/>
          <w:sz w:val="32"/>
          <w:szCs w:val="32"/>
        </w:rPr>
        <w:t>8</w:t>
      </w:r>
      <w:r>
        <w:rPr>
          <w:rFonts w:eastAsia="方正仿宋_GBK" w:hint="eastAsia"/>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教学内容分为税制基本理论、增值税、消费税、企业所得税、个人所得税、关税、财产课税、行为课税、税务筹划九个模块。通过本课程的教学，使学生了解税收法律制度基础和税收征收管理法律制度，理解各种税收法律制度的主要内容，全面把握我国现行各税种的计税依据、计算方法，正确计算各税种的应纳税额。</w:t>
      </w:r>
    </w:p>
    <w:p w:rsidR="00E962BC" w:rsidRDefault="005840DD">
      <w:pPr>
        <w:snapToGrid w:val="0"/>
        <w:spacing w:line="560" w:lineRule="exact"/>
        <w:ind w:firstLineChars="200" w:firstLine="420"/>
        <w:rPr>
          <w:rFonts w:eastAsia="方正仿宋_GBK"/>
          <w:b/>
          <w:bCs/>
          <w:sz w:val="32"/>
          <w:szCs w:val="32"/>
        </w:rPr>
      </w:pPr>
      <w:r>
        <w:br w:type="page"/>
      </w:r>
      <w:r>
        <w:rPr>
          <w:rFonts w:eastAsia="方正仿宋_GBK" w:hint="eastAsia"/>
          <w:b/>
          <w:bCs/>
          <w:sz w:val="32"/>
          <w:szCs w:val="32"/>
        </w:rPr>
        <w:lastRenderedPageBreak/>
        <w:t>《税务筹划》</w:t>
      </w:r>
      <w:r>
        <w:rPr>
          <w:rFonts w:eastAsia="方正仿宋_GBK" w:hint="eastAsia"/>
          <w:b/>
          <w:bCs/>
          <w:sz w:val="32"/>
          <w:szCs w:val="32"/>
        </w:rPr>
        <w:t>1</w:t>
      </w:r>
      <w:r>
        <w:rPr>
          <w:rFonts w:eastAsia="方正仿宋_GBK" w:hint="eastAsia"/>
          <w:b/>
          <w:bCs/>
          <w:sz w:val="32"/>
          <w:szCs w:val="32"/>
        </w:rPr>
        <w:t>学分</w:t>
      </w:r>
      <w:r>
        <w:rPr>
          <w:rFonts w:eastAsia="方正仿宋_GBK" w:hint="eastAsia"/>
          <w:b/>
          <w:bCs/>
          <w:sz w:val="32"/>
          <w:szCs w:val="32"/>
        </w:rPr>
        <w:t xml:space="preserve"> </w:t>
      </w:r>
      <w:r>
        <w:rPr>
          <w:rFonts w:eastAsia="方正仿宋_GBK" w:hint="eastAsia"/>
          <w:b/>
          <w:bCs/>
          <w:sz w:val="32"/>
          <w:szCs w:val="32"/>
        </w:rPr>
        <w:t>线下课程，</w:t>
      </w:r>
      <w:r>
        <w:rPr>
          <w:rFonts w:eastAsia="方正仿宋_GBK" w:hint="eastAsia"/>
          <w:b/>
          <w:bCs/>
          <w:sz w:val="32"/>
          <w:szCs w:val="32"/>
        </w:rPr>
        <w:t>1</w:t>
      </w:r>
      <w:r>
        <w:rPr>
          <w:rFonts w:eastAsia="方正仿宋_GBK"/>
          <w:b/>
          <w:bCs/>
          <w:sz w:val="32"/>
          <w:szCs w:val="32"/>
        </w:rPr>
        <w:t>6</w:t>
      </w:r>
      <w:r>
        <w:rPr>
          <w:rFonts w:eastAsia="方正仿宋_GBK" w:hint="eastAsia"/>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教学内容分为税务筹划基本理论与方法、增值税的税务筹划、消费税的税务筹划、企业所得税的税务筹划、个人所得税的税务筹划。通过本课程学习，使学生全面理解税务筹划，了解税务筹划的原则、基本方法，从而具备对实际经济业务中涉及税收问题分析和问题解决能力。</w:t>
      </w:r>
    </w:p>
    <w:p w:rsidR="00E962BC" w:rsidRDefault="005840DD">
      <w:pPr>
        <w:snapToGrid w:val="0"/>
        <w:spacing w:line="560" w:lineRule="exact"/>
        <w:ind w:firstLineChars="200" w:firstLine="640"/>
        <w:rPr>
          <w:rFonts w:eastAsia="方正仿宋_GBK"/>
          <w:b/>
          <w:bCs/>
          <w:sz w:val="32"/>
          <w:szCs w:val="32"/>
        </w:rPr>
      </w:pPr>
      <w:r>
        <w:rPr>
          <w:rFonts w:eastAsia="方正仿宋_GBK"/>
          <w:b/>
          <w:bCs/>
          <w:sz w:val="32"/>
          <w:szCs w:val="32"/>
        </w:rPr>
        <w:t>《</w:t>
      </w:r>
      <w:r>
        <w:rPr>
          <w:rFonts w:eastAsia="方正仿宋_GBK" w:hint="eastAsia"/>
          <w:b/>
          <w:bCs/>
          <w:sz w:val="32"/>
          <w:szCs w:val="32"/>
        </w:rPr>
        <w:t>风险管理与保险规划</w:t>
      </w:r>
      <w:r>
        <w:rPr>
          <w:rFonts w:eastAsia="方正仿宋_GBK"/>
          <w:b/>
          <w:bCs/>
          <w:sz w:val="32"/>
          <w:szCs w:val="32"/>
        </w:rPr>
        <w:t>》</w:t>
      </w:r>
      <w:r>
        <w:rPr>
          <w:rFonts w:eastAsia="方正仿宋_GBK" w:hint="eastAsia"/>
          <w:b/>
          <w:bCs/>
          <w:sz w:val="32"/>
          <w:szCs w:val="32"/>
        </w:rPr>
        <w:t xml:space="preserve"> </w:t>
      </w:r>
      <w:r>
        <w:rPr>
          <w:rFonts w:eastAsia="方正仿宋_GBK"/>
          <w:b/>
          <w:bCs/>
          <w:sz w:val="32"/>
          <w:szCs w:val="32"/>
        </w:rPr>
        <w:t>3</w:t>
      </w:r>
      <w:r>
        <w:rPr>
          <w:rFonts w:eastAsia="方正仿宋_GBK"/>
          <w:b/>
          <w:bCs/>
          <w:sz w:val="32"/>
          <w:szCs w:val="32"/>
        </w:rPr>
        <w:t>学分</w:t>
      </w:r>
      <w:r>
        <w:rPr>
          <w:rFonts w:eastAsia="方正仿宋_GBK" w:hint="eastAsia"/>
          <w:b/>
          <w:bCs/>
          <w:sz w:val="32"/>
          <w:szCs w:val="32"/>
        </w:rPr>
        <w:t xml:space="preserve"> </w:t>
      </w:r>
      <w:r>
        <w:rPr>
          <w:rFonts w:eastAsia="方正仿宋_GBK" w:hint="eastAsia"/>
          <w:b/>
          <w:bCs/>
          <w:sz w:val="32"/>
          <w:szCs w:val="32"/>
        </w:rPr>
        <w:t>线下</w:t>
      </w:r>
      <w:r>
        <w:rPr>
          <w:rFonts w:eastAsia="方正仿宋_GBK"/>
          <w:b/>
          <w:bCs/>
          <w:sz w:val="32"/>
          <w:szCs w:val="32"/>
        </w:rPr>
        <w:t>课程</w:t>
      </w:r>
      <w:r>
        <w:rPr>
          <w:rFonts w:eastAsia="方正仿宋_GBK" w:hint="eastAsia"/>
          <w:b/>
          <w:bCs/>
          <w:sz w:val="32"/>
          <w:szCs w:val="32"/>
        </w:rPr>
        <w:t>，</w:t>
      </w:r>
      <w:r>
        <w:rPr>
          <w:rFonts w:eastAsia="方正仿宋_GBK"/>
          <w:b/>
          <w:bCs/>
          <w:sz w:val="32"/>
          <w:szCs w:val="32"/>
        </w:rPr>
        <w:t xml:space="preserve"> 48</w:t>
      </w:r>
      <w:r>
        <w:rPr>
          <w:rFonts w:eastAsia="方正仿宋_GBK"/>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内容分为风险与风险管理、保险基本原理与基本原则、保险合同、人身保险、财产保险、责任保险和信用保险及保证保险六个模块。通过本课程的学习，学生对风险管理有比较全面的认识，掌握风险管理与保险的基本概念、基本思想、基本分析方法和基本理论，对风险管理工具与保险有比较全面了解，树立风险意识，熟悉风险管理方法，具有进行保险规划的能力。</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五、</w:t>
      </w:r>
      <w:r>
        <w:rPr>
          <w:rFonts w:eastAsia="方正黑体_GBK"/>
          <w:sz w:val="32"/>
          <w:szCs w:val="32"/>
        </w:rPr>
        <w:t>教学安排</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单独编班组织教学，每学期安排</w:t>
      </w:r>
      <w:r>
        <w:rPr>
          <w:rFonts w:eastAsia="方正仿宋_GBK" w:hint="eastAsia"/>
          <w:sz w:val="32"/>
          <w:szCs w:val="32"/>
        </w:rPr>
        <w:t>7</w:t>
      </w:r>
      <w:r>
        <w:rPr>
          <w:rFonts w:eastAsia="方正仿宋_GBK" w:hint="eastAsia"/>
          <w:sz w:val="32"/>
          <w:szCs w:val="32"/>
        </w:rPr>
        <w:t>学分的课程，主要利用晚上或周末时间授课，线下教学。</w:t>
      </w:r>
      <w:r>
        <w:rPr>
          <w:rFonts w:eastAsia="方正仿宋_GBK" w:hint="eastAsia"/>
          <w:sz w:val="32"/>
          <w:szCs w:val="32"/>
        </w:rPr>
        <w:t>2025</w:t>
      </w:r>
      <w:r>
        <w:rPr>
          <w:rFonts w:eastAsia="方正仿宋_GBK" w:hint="eastAsia"/>
          <w:sz w:val="32"/>
          <w:szCs w:val="32"/>
        </w:rPr>
        <w:t>年</w:t>
      </w:r>
      <w:r w:rsidR="00140FA2">
        <w:rPr>
          <w:rFonts w:eastAsia="方正仿宋_GBK" w:hint="eastAsia"/>
          <w:sz w:val="32"/>
          <w:szCs w:val="32"/>
        </w:rPr>
        <w:t>秋</w:t>
      </w:r>
      <w:r w:rsidR="009E0BC8">
        <w:rPr>
          <w:rFonts w:eastAsia="方正仿宋_GBK" w:hint="eastAsia"/>
          <w:sz w:val="32"/>
          <w:szCs w:val="32"/>
        </w:rPr>
        <w:t>期</w:t>
      </w:r>
      <w:r>
        <w:rPr>
          <w:rFonts w:eastAsia="方正仿宋_GBK" w:hint="eastAsia"/>
          <w:sz w:val="32"/>
          <w:szCs w:val="32"/>
        </w:rPr>
        <w:t>本微专业计划于</w:t>
      </w:r>
      <w:r>
        <w:rPr>
          <w:rFonts w:eastAsia="方正仿宋_GBK" w:hint="eastAsia"/>
          <w:sz w:val="32"/>
          <w:szCs w:val="32"/>
        </w:rPr>
        <w:t>2025</w:t>
      </w:r>
      <w:r>
        <w:rPr>
          <w:rFonts w:eastAsia="方正仿宋_GBK" w:hint="eastAsia"/>
          <w:sz w:val="32"/>
          <w:szCs w:val="32"/>
        </w:rPr>
        <w:t>年</w:t>
      </w:r>
      <w:r w:rsidR="00140FA2">
        <w:rPr>
          <w:rFonts w:eastAsia="方正仿宋_GBK"/>
          <w:sz w:val="32"/>
          <w:szCs w:val="32"/>
        </w:rPr>
        <w:t>9</w:t>
      </w:r>
      <w:r>
        <w:rPr>
          <w:rFonts w:eastAsia="方正仿宋_GBK" w:hint="eastAsia"/>
          <w:sz w:val="32"/>
          <w:szCs w:val="32"/>
        </w:rPr>
        <w:t>月开课，于</w:t>
      </w:r>
      <w:r>
        <w:rPr>
          <w:rFonts w:eastAsia="方正仿宋_GBK" w:hint="eastAsia"/>
          <w:sz w:val="32"/>
          <w:szCs w:val="32"/>
        </w:rPr>
        <w:t>202</w:t>
      </w:r>
      <w:r w:rsidR="00140FA2">
        <w:rPr>
          <w:rFonts w:eastAsia="方正仿宋_GBK"/>
          <w:sz w:val="32"/>
          <w:szCs w:val="32"/>
        </w:rPr>
        <w:t>6</w:t>
      </w:r>
      <w:r>
        <w:rPr>
          <w:rFonts w:eastAsia="方正仿宋_GBK" w:hint="eastAsia"/>
          <w:sz w:val="32"/>
          <w:szCs w:val="32"/>
        </w:rPr>
        <w:t>年</w:t>
      </w:r>
      <w:r w:rsidR="00140FA2">
        <w:rPr>
          <w:rFonts w:eastAsia="方正仿宋_GBK"/>
          <w:sz w:val="32"/>
          <w:szCs w:val="32"/>
        </w:rPr>
        <w:t>7</w:t>
      </w:r>
      <w:r>
        <w:rPr>
          <w:rFonts w:eastAsia="方正仿宋_GBK" w:hint="eastAsia"/>
          <w:sz w:val="32"/>
          <w:szCs w:val="32"/>
        </w:rPr>
        <w:t>月结课。</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六、</w:t>
      </w:r>
      <w:r>
        <w:rPr>
          <w:rFonts w:eastAsia="方正黑体_GBK"/>
          <w:sz w:val="32"/>
          <w:szCs w:val="32"/>
        </w:rPr>
        <w:t>学费</w:t>
      </w:r>
      <w:bookmarkStart w:id="0" w:name="_GoBack"/>
      <w:bookmarkEnd w:id="0"/>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财富管理微专业学费根据学分收取，按重庆市物价局核定标准执行，每学分</w:t>
      </w:r>
      <w:r>
        <w:rPr>
          <w:rFonts w:eastAsia="方正仿宋_GBK" w:hint="eastAsia"/>
          <w:sz w:val="32"/>
          <w:szCs w:val="32"/>
        </w:rPr>
        <w:t>70</w:t>
      </w:r>
      <w:r>
        <w:rPr>
          <w:rFonts w:eastAsia="方正仿宋_GBK" w:hint="eastAsia"/>
          <w:sz w:val="32"/>
          <w:szCs w:val="32"/>
        </w:rPr>
        <w:t>元。</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七、</w:t>
      </w:r>
      <w:r>
        <w:rPr>
          <w:rFonts w:eastAsia="方正黑体_GBK"/>
          <w:sz w:val="32"/>
          <w:szCs w:val="32"/>
        </w:rPr>
        <w:t>学制、考核及</w:t>
      </w:r>
      <w:r>
        <w:rPr>
          <w:rFonts w:eastAsia="方正黑体_GBK" w:hint="eastAsia"/>
          <w:sz w:val="32"/>
          <w:szCs w:val="32"/>
        </w:rPr>
        <w:t>结业</w:t>
      </w:r>
      <w:r>
        <w:rPr>
          <w:rFonts w:eastAsia="方正黑体_GBK"/>
          <w:sz w:val="32"/>
          <w:szCs w:val="32"/>
        </w:rPr>
        <w:t>证书</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从</w:t>
      </w:r>
      <w:r w:rsidR="009E0BC8">
        <w:rPr>
          <w:rFonts w:eastAsia="方正仿宋_GBK" w:hint="eastAsia"/>
          <w:sz w:val="32"/>
          <w:szCs w:val="32"/>
        </w:rPr>
        <w:t>2</w:t>
      </w:r>
      <w:r w:rsidR="009E0BC8">
        <w:rPr>
          <w:rFonts w:eastAsia="方正仿宋_GBK"/>
          <w:sz w:val="32"/>
          <w:szCs w:val="32"/>
        </w:rPr>
        <w:t>025</w:t>
      </w:r>
      <w:r>
        <w:rPr>
          <w:rFonts w:eastAsia="方正仿宋_GBK" w:hint="eastAsia"/>
          <w:sz w:val="32"/>
          <w:szCs w:val="32"/>
        </w:rPr>
        <w:t>年</w:t>
      </w:r>
      <w:r w:rsidR="007A6844">
        <w:rPr>
          <w:rFonts w:eastAsia="方正仿宋_GBK" w:hint="eastAsia"/>
          <w:sz w:val="32"/>
          <w:szCs w:val="32"/>
        </w:rPr>
        <w:t>春</w:t>
      </w:r>
      <w:r>
        <w:rPr>
          <w:rFonts w:eastAsia="方正仿宋_GBK" w:hint="eastAsia"/>
          <w:sz w:val="32"/>
          <w:szCs w:val="32"/>
        </w:rPr>
        <w:t>期开始，以</w:t>
      </w:r>
      <w:r>
        <w:rPr>
          <w:rFonts w:eastAsia="方正仿宋_GBK" w:hint="eastAsia"/>
          <w:sz w:val="32"/>
          <w:szCs w:val="32"/>
        </w:rPr>
        <w:t>2</w:t>
      </w:r>
      <w:r>
        <w:rPr>
          <w:rFonts w:eastAsia="方正仿宋_GBK" w:hint="eastAsia"/>
          <w:sz w:val="32"/>
          <w:szCs w:val="32"/>
        </w:rPr>
        <w:t>个学期为一个培养周期。学生在</w:t>
      </w:r>
      <w:r>
        <w:rPr>
          <w:rFonts w:eastAsia="方正仿宋_GBK" w:hint="eastAsia"/>
          <w:sz w:val="32"/>
          <w:szCs w:val="32"/>
        </w:rPr>
        <w:lastRenderedPageBreak/>
        <w:t>主修专业毕业前修满微专业培养方案规定的课程及学分，由学校颁发微专业结业证书。</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在不违反主修专业人才培养方案相关要求前提下，未能完成微专业修读的本校学生，其已修读的微专业相关课程学分可替代通识选修课学分，相同课程可替换主修专业选修课程学分（由所在专业根据课程内容认定）。</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八、</w:t>
      </w:r>
      <w:r>
        <w:rPr>
          <w:rFonts w:eastAsia="方正黑体_GBK"/>
          <w:sz w:val="32"/>
          <w:szCs w:val="32"/>
        </w:rPr>
        <w:t>招生对象及要求</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本专业</w:t>
      </w:r>
      <w:r>
        <w:rPr>
          <w:rFonts w:eastAsia="方正仿宋_GBK" w:hint="eastAsia"/>
          <w:sz w:val="32"/>
          <w:szCs w:val="32"/>
        </w:rPr>
        <w:t>2025</w:t>
      </w:r>
      <w:r>
        <w:rPr>
          <w:rFonts w:eastAsia="方正仿宋_GBK" w:hint="eastAsia"/>
          <w:sz w:val="32"/>
          <w:szCs w:val="32"/>
        </w:rPr>
        <w:t>年</w:t>
      </w:r>
      <w:r w:rsidR="009E0BC8">
        <w:rPr>
          <w:rFonts w:eastAsia="方正仿宋_GBK" w:hint="eastAsia"/>
          <w:sz w:val="32"/>
          <w:szCs w:val="32"/>
        </w:rPr>
        <w:t>春期</w:t>
      </w:r>
      <w:r>
        <w:rPr>
          <w:rFonts w:eastAsia="方正仿宋_GBK" w:hint="eastAsia"/>
          <w:sz w:val="32"/>
          <w:szCs w:val="32"/>
        </w:rPr>
        <w:t>主要面向</w:t>
      </w:r>
      <w:r>
        <w:rPr>
          <w:rFonts w:eastAsia="方正仿宋_GBK" w:hint="eastAsia"/>
          <w:sz w:val="32"/>
          <w:szCs w:val="32"/>
        </w:rPr>
        <w:t>2022</w:t>
      </w:r>
      <w:r>
        <w:rPr>
          <w:rFonts w:eastAsia="方正仿宋_GBK" w:hint="eastAsia"/>
          <w:sz w:val="32"/>
          <w:szCs w:val="32"/>
        </w:rPr>
        <w:t>－</w:t>
      </w:r>
      <w:r>
        <w:rPr>
          <w:rFonts w:eastAsia="方正仿宋_GBK" w:hint="eastAsia"/>
          <w:sz w:val="32"/>
          <w:szCs w:val="32"/>
        </w:rPr>
        <w:t>2024</w:t>
      </w:r>
      <w:r>
        <w:rPr>
          <w:rFonts w:eastAsia="方正仿宋_GBK" w:hint="eastAsia"/>
          <w:sz w:val="32"/>
          <w:szCs w:val="32"/>
        </w:rPr>
        <w:t>级主修专业成绩良好、学有余力的学生，专业不限。招生人数为</w:t>
      </w:r>
      <w:r>
        <w:rPr>
          <w:rFonts w:eastAsia="方正仿宋_GBK" w:hint="eastAsia"/>
          <w:sz w:val="32"/>
          <w:szCs w:val="32"/>
        </w:rPr>
        <w:t>50</w:t>
      </w:r>
      <w:r>
        <w:rPr>
          <w:rFonts w:eastAsia="方正仿宋_GBK" w:hint="eastAsia"/>
          <w:sz w:val="32"/>
          <w:szCs w:val="32"/>
        </w:rPr>
        <w:t>人，修读人数少于</w:t>
      </w:r>
      <w:r>
        <w:rPr>
          <w:rFonts w:eastAsia="方正仿宋_GBK" w:hint="eastAsia"/>
          <w:sz w:val="32"/>
          <w:szCs w:val="32"/>
        </w:rPr>
        <w:t>30</w:t>
      </w:r>
      <w:r>
        <w:rPr>
          <w:rFonts w:eastAsia="方正仿宋_GBK" w:hint="eastAsia"/>
          <w:sz w:val="32"/>
          <w:szCs w:val="32"/>
        </w:rPr>
        <w:t>人不开班。</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九、教学</w:t>
      </w:r>
      <w:r>
        <w:rPr>
          <w:rFonts w:eastAsia="方正黑体_GBK"/>
          <w:sz w:val="32"/>
          <w:szCs w:val="32"/>
        </w:rPr>
        <w:t>管理</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微专业由经济与管理学院统一编班管理，班级人数为</w:t>
      </w:r>
      <w:r>
        <w:rPr>
          <w:rFonts w:eastAsia="方正仿宋_GBK" w:hint="eastAsia"/>
          <w:sz w:val="32"/>
          <w:szCs w:val="32"/>
        </w:rPr>
        <w:t>30</w:t>
      </w:r>
      <w:r>
        <w:rPr>
          <w:rFonts w:eastAsia="方正仿宋_GBK" w:hint="eastAsia"/>
          <w:sz w:val="32"/>
          <w:szCs w:val="32"/>
        </w:rPr>
        <w:t>至</w:t>
      </w:r>
      <w:r>
        <w:rPr>
          <w:rFonts w:eastAsia="方正仿宋_GBK" w:hint="eastAsia"/>
          <w:sz w:val="32"/>
          <w:szCs w:val="32"/>
        </w:rPr>
        <w:t>50</w:t>
      </w:r>
      <w:r>
        <w:rPr>
          <w:rFonts w:eastAsia="方正仿宋_GBK" w:hint="eastAsia"/>
          <w:sz w:val="32"/>
          <w:szCs w:val="32"/>
        </w:rPr>
        <w:t>人。课程教学由学院负责安排。微专业课程教学、考核等要求与普通本科专业相同。</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十、</w:t>
      </w:r>
      <w:r>
        <w:rPr>
          <w:rFonts w:eastAsia="方正黑体_GBK"/>
          <w:sz w:val="32"/>
          <w:szCs w:val="32"/>
        </w:rPr>
        <w:t>报名办法及选拔方式</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1.</w:t>
      </w:r>
      <w:r>
        <w:rPr>
          <w:rFonts w:eastAsia="方正仿宋_GBK" w:hint="eastAsia"/>
          <w:sz w:val="32"/>
          <w:szCs w:val="32"/>
        </w:rPr>
        <w:t>报名办法。按学校要求统一报名，填写《长江师范学院修读微专业报名表》进行报名，报名表需同时提交纸质版和电子版。报名后请及时加入“财富管理微专业群”。</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2.</w:t>
      </w:r>
      <w:r>
        <w:rPr>
          <w:rFonts w:eastAsia="方正仿宋_GBK" w:hint="eastAsia"/>
          <w:sz w:val="32"/>
          <w:szCs w:val="32"/>
        </w:rPr>
        <w:t>选拔方式。报名学生经专业面试考核录取后，进入财富管理微专业学习。</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十一、</w:t>
      </w:r>
      <w:r>
        <w:rPr>
          <w:rFonts w:eastAsia="方正黑体_GBK"/>
          <w:sz w:val="32"/>
          <w:szCs w:val="32"/>
        </w:rPr>
        <w:t>联系方式</w:t>
      </w:r>
    </w:p>
    <w:p w:rsidR="00E962BC" w:rsidRDefault="005840DD">
      <w:pPr>
        <w:snapToGrid w:val="0"/>
        <w:spacing w:line="560" w:lineRule="exact"/>
        <w:ind w:firstLineChars="200" w:firstLine="640"/>
        <w:rPr>
          <w:rFonts w:eastAsia="方正仿宋_GBK"/>
          <w:sz w:val="32"/>
          <w:szCs w:val="32"/>
        </w:rPr>
      </w:pPr>
      <w:r>
        <w:rPr>
          <w:rFonts w:eastAsia="方正仿宋_GBK"/>
          <w:sz w:val="32"/>
          <w:szCs w:val="32"/>
        </w:rPr>
        <w:t>联系人：</w:t>
      </w:r>
      <w:r>
        <w:rPr>
          <w:rFonts w:eastAsia="方正仿宋_GBK" w:hint="eastAsia"/>
          <w:sz w:val="32"/>
          <w:szCs w:val="32"/>
        </w:rPr>
        <w:t>余</w:t>
      </w:r>
      <w:r>
        <w:rPr>
          <w:rFonts w:eastAsia="方正仿宋_GBK"/>
          <w:sz w:val="32"/>
          <w:szCs w:val="32"/>
        </w:rPr>
        <w:t>老师</w:t>
      </w:r>
      <w:r>
        <w:rPr>
          <w:rFonts w:eastAsia="方正仿宋_GBK" w:hint="eastAsia"/>
          <w:sz w:val="32"/>
          <w:szCs w:val="32"/>
        </w:rPr>
        <w:t xml:space="preserve"> </w:t>
      </w:r>
    </w:p>
    <w:p w:rsidR="00E962BC" w:rsidRDefault="005840DD">
      <w:pPr>
        <w:snapToGrid w:val="0"/>
        <w:spacing w:line="560" w:lineRule="exact"/>
        <w:ind w:firstLineChars="200" w:firstLine="640"/>
        <w:rPr>
          <w:rFonts w:eastAsia="方正仿宋_GBK"/>
          <w:sz w:val="32"/>
          <w:szCs w:val="32"/>
        </w:rPr>
      </w:pPr>
      <w:r>
        <w:rPr>
          <w:rFonts w:eastAsia="方正仿宋_GBK"/>
          <w:sz w:val="32"/>
          <w:szCs w:val="32"/>
        </w:rPr>
        <w:lastRenderedPageBreak/>
        <w:t>联系电话：</w:t>
      </w:r>
      <w:r>
        <w:rPr>
          <w:rFonts w:eastAsia="方正仿宋_GBK"/>
          <w:sz w:val="32"/>
          <w:szCs w:val="32"/>
        </w:rPr>
        <w:t xml:space="preserve">17323407383 </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纸质报名表提交地点：明德楼</w:t>
      </w:r>
      <w:r>
        <w:rPr>
          <w:rFonts w:eastAsia="方正仿宋_GBK" w:hint="eastAsia"/>
          <w:sz w:val="32"/>
          <w:szCs w:val="32"/>
        </w:rPr>
        <w:t>2</w:t>
      </w:r>
      <w:r>
        <w:rPr>
          <w:rFonts w:eastAsia="方正仿宋_GBK"/>
          <w:sz w:val="32"/>
          <w:szCs w:val="32"/>
        </w:rPr>
        <w:t>20</w:t>
      </w:r>
      <w:r>
        <w:rPr>
          <w:rFonts w:eastAsia="方正仿宋_GBK" w:hint="eastAsia"/>
          <w:sz w:val="32"/>
          <w:szCs w:val="32"/>
        </w:rPr>
        <w:t>4</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电子报名表提交邮箱：</w:t>
      </w:r>
      <w:r>
        <w:rPr>
          <w:rFonts w:eastAsia="方正仿宋_GBK" w:hint="eastAsia"/>
          <w:sz w:val="32"/>
          <w:szCs w:val="32"/>
        </w:rPr>
        <w:t>y</w:t>
      </w:r>
      <w:r>
        <w:rPr>
          <w:rFonts w:eastAsia="方正仿宋_GBK"/>
          <w:sz w:val="32"/>
          <w:szCs w:val="32"/>
        </w:rPr>
        <w:t>uhan@yznu.edu.cn</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报名咨询请加</w:t>
      </w:r>
      <w:r>
        <w:rPr>
          <w:rFonts w:eastAsia="方正仿宋_GBK"/>
          <w:sz w:val="32"/>
          <w:szCs w:val="32"/>
        </w:rPr>
        <w:t>QQ</w:t>
      </w:r>
      <w:r>
        <w:rPr>
          <w:rFonts w:eastAsia="方正仿宋_GBK"/>
          <w:sz w:val="32"/>
          <w:szCs w:val="32"/>
        </w:rPr>
        <w:t>群：</w:t>
      </w:r>
      <w:r>
        <w:rPr>
          <w:rFonts w:eastAsia="方正仿宋_GBK"/>
          <w:sz w:val="32"/>
          <w:szCs w:val="32"/>
        </w:rPr>
        <w:t>490950566</w:t>
      </w:r>
    </w:p>
    <w:p w:rsidR="00E962BC" w:rsidRDefault="00AB033E">
      <w:pPr>
        <w:snapToGrid w:val="0"/>
        <w:ind w:firstLineChars="200" w:firstLine="600"/>
        <w:jc w:val="center"/>
        <w:rPr>
          <w:rFonts w:eastAsia="方正仿宋_GBK"/>
          <w:sz w:val="30"/>
          <w:szCs w:val="30"/>
        </w:rPr>
      </w:pPr>
      <w:r>
        <w:rPr>
          <w:rFonts w:eastAsia="方正仿宋_GBK"/>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8pt;height:187.8pt;visibility:visible;mso-wrap-style:square">
            <v:imagedata r:id="rId6" o:title=""/>
          </v:shape>
        </w:pict>
      </w:r>
    </w:p>
    <w:sectPr w:rsidR="00E962BC">
      <w:footerReference w:type="even" r:id="rId7"/>
      <w:footerReference w:type="default" r:id="rId8"/>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33E" w:rsidRDefault="00AB033E">
      <w:r>
        <w:separator/>
      </w:r>
    </w:p>
  </w:endnote>
  <w:endnote w:type="continuationSeparator" w:id="0">
    <w:p w:rsidR="00AB033E" w:rsidRDefault="00AB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1" w:usb1="080E0000" w:usb2="00000000" w:usb3="00000000" w:csb0="00040000" w:csb1="00000000"/>
  </w:font>
  <w:font w:name="方正黑体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方正楷体_GBK">
    <w:altName w:val="微软雅黑"/>
    <w:charset w:val="86"/>
    <w:family w:val="script"/>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2BC" w:rsidRDefault="005840DD">
    <w:pPr>
      <w:pStyle w:val="a5"/>
      <w:tabs>
        <w:tab w:val="clear" w:pos="4153"/>
        <w:tab w:val="clear" w:pos="8306"/>
      </w:tabs>
      <w:rPr>
        <w:rFonts w:ascii="方正仿宋_GBK" w:eastAsia="方正仿宋_GBK"/>
        <w:sz w:val="28"/>
        <w:szCs w:val="28"/>
      </w:rPr>
    </w:pPr>
    <w:r>
      <w:rPr>
        <w:rFonts w:ascii="方正仿宋_GBK" w:eastAsia="方正仿宋_GBK" w:hint="eastAsia"/>
        <w:sz w:val="28"/>
        <w:szCs w:val="28"/>
      </w:rPr>
      <w:fldChar w:fldCharType="begin"/>
    </w:r>
    <w:r>
      <w:rPr>
        <w:rFonts w:ascii="方正仿宋_GBK" w:eastAsia="方正仿宋_GBK" w:hint="eastAsia"/>
        <w:sz w:val="28"/>
        <w:szCs w:val="28"/>
      </w:rPr>
      <w:instrText>PAGE   \* MERGEFORMAT</w:instrText>
    </w:r>
    <w:r>
      <w:rPr>
        <w:rFonts w:ascii="方正仿宋_GBK" w:eastAsia="方正仿宋_GBK" w:hint="eastAsia"/>
        <w:sz w:val="28"/>
        <w:szCs w:val="28"/>
      </w:rPr>
      <w:fldChar w:fldCharType="separate"/>
    </w:r>
    <w:r w:rsidR="00140FA2" w:rsidRPr="00140FA2">
      <w:rPr>
        <w:rFonts w:ascii="方正仿宋_GBK" w:eastAsia="方正仿宋_GBK"/>
        <w:noProof/>
        <w:sz w:val="28"/>
        <w:szCs w:val="28"/>
        <w:lang w:val="zh-CN"/>
      </w:rPr>
      <w:t>6</w:t>
    </w:r>
    <w:r>
      <w:rPr>
        <w:rFonts w:ascii="方正仿宋_GBK" w:eastAsia="方正仿宋_GBK" w:hint="eastAsia"/>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2BC" w:rsidRDefault="005840DD">
    <w:pPr>
      <w:pStyle w:val="a5"/>
      <w:tabs>
        <w:tab w:val="clear" w:pos="4153"/>
        <w:tab w:val="clear" w:pos="8306"/>
      </w:tabs>
      <w:jc w:val="right"/>
      <w:rPr>
        <w:rFonts w:ascii="方正仿宋_GBK" w:eastAsia="方正仿宋_GBK"/>
        <w:sz w:val="28"/>
        <w:szCs w:val="28"/>
      </w:rPr>
    </w:pPr>
    <w:r>
      <w:rPr>
        <w:rFonts w:ascii="方正仿宋_GBK" w:eastAsia="方正仿宋_GBK" w:hint="eastAsia"/>
        <w:sz w:val="28"/>
        <w:szCs w:val="28"/>
      </w:rPr>
      <w:fldChar w:fldCharType="begin"/>
    </w:r>
    <w:r>
      <w:rPr>
        <w:rFonts w:ascii="方正仿宋_GBK" w:eastAsia="方正仿宋_GBK" w:hint="eastAsia"/>
        <w:sz w:val="28"/>
        <w:szCs w:val="28"/>
      </w:rPr>
      <w:instrText xml:space="preserve"> PAGE   \* MERGEFORMAT </w:instrText>
    </w:r>
    <w:r>
      <w:rPr>
        <w:rFonts w:ascii="方正仿宋_GBK" w:eastAsia="方正仿宋_GBK" w:hint="eastAsia"/>
        <w:sz w:val="28"/>
        <w:szCs w:val="28"/>
      </w:rPr>
      <w:fldChar w:fldCharType="separate"/>
    </w:r>
    <w:r w:rsidR="00140FA2" w:rsidRPr="00140FA2">
      <w:rPr>
        <w:rFonts w:ascii="方正仿宋_GBK" w:eastAsia="方正仿宋_GBK"/>
        <w:noProof/>
        <w:sz w:val="28"/>
        <w:szCs w:val="28"/>
        <w:lang w:val="zh-CN"/>
      </w:rPr>
      <w:t>5</w:t>
    </w:r>
    <w:r>
      <w:rPr>
        <w:rFonts w:ascii="方正仿宋_GBK" w:eastAsia="方正仿宋_GBK" w:hint="eastAsia"/>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33E" w:rsidRDefault="00AB033E">
      <w:r>
        <w:separator/>
      </w:r>
    </w:p>
  </w:footnote>
  <w:footnote w:type="continuationSeparator" w:id="0">
    <w:p w:rsidR="00AB033E" w:rsidRDefault="00AB03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62BC"/>
    <w:rsid w:val="00140FA2"/>
    <w:rsid w:val="00537DBE"/>
    <w:rsid w:val="005840DD"/>
    <w:rsid w:val="007A6844"/>
    <w:rsid w:val="009E0BC8"/>
    <w:rsid w:val="00AB033E"/>
    <w:rsid w:val="00E962BC"/>
    <w:rsid w:val="00F3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47B54"/>
  <w15:docId w15:val="{3491F711-2AFE-4A0E-9B17-F795B17CF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uiPriority w:val="9"/>
    <w:qFormat/>
    <w:pPr>
      <w:keepNext/>
      <w:keepLines/>
      <w:jc w:val="left"/>
      <w:outlineLvl w:val="0"/>
    </w:pPr>
    <w:rPr>
      <w:rFonts w:eastAsia="方正小标宋_GBK"/>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character" w:customStyle="1" w:styleId="a4">
    <w:name w:val="批注框文本 字符"/>
    <w:link w:val="a3"/>
    <w:semiHidden/>
    <w:rPr>
      <w:rFonts w:ascii="Times New Roman" w:hAnsi="Times New Roman"/>
      <w:kern w:val="2"/>
      <w:sz w:val="18"/>
      <w:szCs w:val="18"/>
    </w:rPr>
  </w:style>
  <w:style w:type="paragraph" w:styleId="a5">
    <w:name w:val="footer"/>
    <w:basedOn w:val="a"/>
    <w:link w:val="10"/>
    <w:pPr>
      <w:tabs>
        <w:tab w:val="center" w:pos="4153"/>
        <w:tab w:val="right" w:pos="8306"/>
      </w:tabs>
      <w:snapToGrid w:val="0"/>
      <w:jc w:val="left"/>
    </w:pPr>
    <w:rPr>
      <w:kern w:val="0"/>
      <w:sz w:val="18"/>
      <w:szCs w:val="18"/>
    </w:rPr>
  </w:style>
  <w:style w:type="character" w:customStyle="1" w:styleId="10">
    <w:name w:val="页脚 字符1"/>
    <w:link w:val="a5"/>
    <w:rPr>
      <w:rFonts w:ascii="Times New Roman" w:eastAsia="宋体" w:hAnsi="Times New Roman"/>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rPr>
      <w:rFonts w:ascii="Times New Roman" w:hAnsi="Times New Roman"/>
      <w:kern w:val="2"/>
      <w:sz w:val="18"/>
      <w:szCs w:val="18"/>
    </w:rPr>
  </w:style>
  <w:style w:type="character" w:customStyle="1" w:styleId="a8">
    <w:name w:val="页脚 字符"/>
    <w:semiHidden/>
    <w:rPr>
      <w:rFonts w:ascii="Times New Roman" w:eastAsia="宋体" w:hAnsi="Times New Roman"/>
      <w:sz w:val="18"/>
      <w:szCs w:val="18"/>
    </w:rPr>
  </w:style>
  <w:style w:type="paragraph" w:customStyle="1" w:styleId="p7">
    <w:name w:val="p7"/>
    <w:basedOn w:val="a"/>
    <w:pPr>
      <w:widowControl/>
      <w:spacing w:before="100" w:beforeAutospacing="1" w:after="100" w:afterAutospacing="1"/>
      <w:jc w:val="left"/>
    </w:pPr>
    <w:rPr>
      <w:rFonts w:ascii="宋体" w:hAnsi="宋体"/>
      <w:kern w:val="0"/>
      <w:sz w:val="24"/>
      <w:szCs w:val="24"/>
    </w:rPr>
  </w:style>
  <w:style w:type="paragraph" w:customStyle="1" w:styleId="p8">
    <w:name w:val="p8"/>
    <w:basedOn w:val="a"/>
    <w:pPr>
      <w:widowControl/>
      <w:spacing w:before="100" w:beforeAutospacing="1" w:after="100" w:afterAutospacing="1"/>
      <w:jc w:val="left"/>
    </w:pPr>
    <w:rPr>
      <w:rFonts w:ascii="宋体" w:hAnsi="宋体"/>
      <w:kern w:val="0"/>
      <w:sz w:val="24"/>
      <w:szCs w:val="24"/>
    </w:rPr>
  </w:style>
  <w:style w:type="paragraph" w:customStyle="1" w:styleId="p10">
    <w:name w:val="p10"/>
    <w:basedOn w:val="a"/>
    <w:pPr>
      <w:widowControl/>
      <w:spacing w:before="100" w:beforeAutospacing="1" w:after="100" w:afterAutospacing="1"/>
      <w:jc w:val="left"/>
    </w:pPr>
    <w:rPr>
      <w:rFonts w:ascii="宋体" w:hAnsi="宋体"/>
      <w:kern w:val="0"/>
      <w:sz w:val="24"/>
      <w:szCs w:val="24"/>
    </w:rPr>
  </w:style>
  <w:style w:type="paragraph" w:customStyle="1" w:styleId="p9">
    <w:name w:val="p9"/>
    <w:basedOn w:val="a"/>
    <w:pPr>
      <w:widowControl/>
      <w:spacing w:before="100" w:beforeAutospacing="1" w:after="100" w:afterAutospacing="1"/>
      <w:jc w:val="left"/>
    </w:pPr>
    <w:rPr>
      <w:rFonts w:ascii="宋体" w:hAnsi="宋体"/>
      <w:kern w:val="0"/>
      <w:sz w:val="24"/>
      <w:szCs w:val="24"/>
    </w:rPr>
  </w:style>
  <w:style w:type="paragraph" w:customStyle="1" w:styleId="2">
    <w:name w:val="正文2"/>
    <w:pPr>
      <w:jc w:val="both"/>
    </w:pPr>
    <w:rPr>
      <w:rFonts w:ascii="Times New Roman" w:hAnsi="Times New Roman"/>
      <w:kern w:val="2"/>
      <w:sz w:val="21"/>
      <w:szCs w:val="21"/>
    </w:rPr>
  </w:style>
  <w:style w:type="character" w:customStyle="1" w:styleId="NormalCharacter">
    <w:name w:val="NormalCharacter"/>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377</Words>
  <Characters>2149</Characters>
  <Application>Microsoft Office Word</Application>
  <DocSecurity>0</DocSecurity>
  <Lines>17</Lines>
  <Paragraphs>5</Paragraphs>
  <ScaleCrop>false</ScaleCrop>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HC</cp:lastModifiedBy>
  <cp:revision>5</cp:revision>
  <dcterms:created xsi:type="dcterms:W3CDTF">2025-01-14T09:08:00Z</dcterms:created>
  <dcterms:modified xsi:type="dcterms:W3CDTF">2025-07-11T23:54:00Z</dcterms:modified>
</cp:coreProperties>
</file>